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4"/>
      </w:tblGrid>
      <w:tr w:rsidR="00DB3084" w:rsidRPr="0008556F" w:rsidTr="00DB3084">
        <w:trPr>
          <w:trHeight w:val="432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36"/>
                <w:szCs w:val="36"/>
              </w:rPr>
            </w:pPr>
            <w:r w:rsidRPr="0008556F">
              <w:rPr>
                <w:rFonts w:cs="Times New Roman"/>
                <w:b/>
                <w:bCs/>
                <w:color w:val="000000"/>
                <w:sz w:val="36"/>
                <w:szCs w:val="36"/>
              </w:rPr>
              <w:t>Maschinenkostenberechnung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336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08556F">
              <w:rPr>
                <w:rFonts w:cs="Times New Roman"/>
                <w:color w:val="000000"/>
                <w:sz w:val="28"/>
                <w:szCs w:val="28"/>
                <w:u w:val="single"/>
              </w:rPr>
              <w:t>a) Fixkosten:</w:t>
            </w:r>
            <w:r w:rsidRPr="0008556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    Abschreibung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>:         </w:t>
            </w:r>
            <w:proofErr w:type="gramStart"/>
            <w:r w:rsidRPr="0008556F">
              <w:rPr>
                <w:rFonts w:cs="Times New Roman"/>
                <w:color w:val="000000"/>
                <w:sz w:val="24"/>
                <w:szCs w:val="24"/>
              </w:rPr>
              <w:t>   (</w:t>
            </w:r>
            <w:proofErr w:type="gramEnd"/>
            <w:r w:rsidRPr="0008556F">
              <w:rPr>
                <w:rFonts w:cs="Times New Roman"/>
                <w:color w:val="000000"/>
                <w:sz w:val="24"/>
                <w:szCs w:val="24"/>
              </w:rPr>
              <w:t>Anschaffungswert – Restwert) / Nutzungsdauer in Jahren</w:t>
            </w:r>
          </w:p>
        </w:tc>
      </w:tr>
      <w:tr w:rsidR="00DB3084" w:rsidRPr="0008556F" w:rsidTr="00DB3084">
        <w:trPr>
          <w:trHeight w:val="156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 w:rsidP="004079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    Zinsansatz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>:               </w:t>
            </w:r>
            <w:proofErr w:type="gramStart"/>
            <w:r w:rsidRPr="0008556F">
              <w:rPr>
                <w:rFonts w:cs="Times New Roman"/>
                <w:color w:val="000000"/>
                <w:sz w:val="24"/>
                <w:szCs w:val="24"/>
              </w:rPr>
              <w:t>   (</w:t>
            </w:r>
            <w:proofErr w:type="gramEnd"/>
            <w:r w:rsidRPr="0008556F">
              <w:rPr>
                <w:rFonts w:cs="Times New Roman"/>
                <w:color w:val="000000"/>
                <w:sz w:val="24"/>
                <w:szCs w:val="24"/>
              </w:rPr>
              <w:t>Anschaffungswert + Restwert) / 2</w:t>
            </w:r>
            <w:r w:rsidR="004079E0" w:rsidRPr="0008556F">
              <w:rPr>
                <w:rFonts w:cs="Times New Roman"/>
                <w:color w:val="000000"/>
                <w:sz w:val="24"/>
                <w:szCs w:val="24"/>
              </w:rPr>
              <w:t xml:space="preserve"> * Zinssatz</w:t>
            </w:r>
            <w:r w:rsidR="003078C0" w:rsidRPr="0008556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3084" w:rsidRPr="0008556F" w:rsidTr="00DB3084">
        <w:trPr>
          <w:trHeight w:val="216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    Versicherung und Unterbringung: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Neuwert * Faktor (1 – 2 %)</w:t>
            </w:r>
          </w:p>
        </w:tc>
      </w:tr>
      <w:tr w:rsidR="00DB3084" w:rsidRPr="0008556F" w:rsidTr="00DB3084">
        <w:trPr>
          <w:trHeight w:val="216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336"/>
        </w:trPr>
        <w:tc>
          <w:tcPr>
            <w:tcW w:w="9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84" w:rsidRPr="0008556F" w:rsidRDefault="003078C0" w:rsidP="003078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08556F">
              <w:rPr>
                <w:rFonts w:cs="Times New Roman"/>
                <w:color w:val="000000"/>
                <w:sz w:val="28"/>
                <w:szCs w:val="28"/>
              </w:rPr>
              <w:t>  = Summe der Fix</w:t>
            </w:r>
            <w:r w:rsidR="00DB3084" w:rsidRPr="0008556F">
              <w:rPr>
                <w:rFonts w:cs="Times New Roman"/>
                <w:color w:val="000000"/>
                <w:sz w:val="28"/>
                <w:szCs w:val="28"/>
              </w:rPr>
              <w:t>kosten je Jahr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336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08556F">
              <w:rPr>
                <w:rFonts w:cs="Times New Roman"/>
                <w:color w:val="000000"/>
                <w:sz w:val="28"/>
                <w:szCs w:val="28"/>
                <w:u w:val="single"/>
              </w:rPr>
              <w:t>b) Variable Kosten:</w:t>
            </w:r>
            <w:r w:rsidRPr="0008556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    Reparaturkosten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>:          Neuwert * Reparaturkostenfaktor in % / 100</w:t>
            </w:r>
          </w:p>
        </w:tc>
      </w:tr>
      <w:tr w:rsidR="00DB3084" w:rsidRPr="0008556F" w:rsidTr="00DB3084">
        <w:trPr>
          <w:trHeight w:val="216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    Treibstoffkosten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>:   </w:t>
            </w:r>
            <w:r w:rsidR="0008556F">
              <w:rPr>
                <w:rFonts w:cs="Times New Roman"/>
                <w:color w:val="000000"/>
                <w:sz w:val="24"/>
                <w:szCs w:val="24"/>
              </w:rPr>
              <w:t>       Treibstoffmenge/h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* Preis je Liter</w:t>
            </w:r>
          </w:p>
        </w:tc>
      </w:tr>
      <w:tr w:rsidR="00DB3084" w:rsidRPr="0008556F" w:rsidTr="00DB3084">
        <w:trPr>
          <w:trHeight w:val="216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    Öl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>:                                  20 % der Treibstoffkosten</w:t>
            </w:r>
          </w:p>
        </w:tc>
      </w:tr>
      <w:tr w:rsidR="00DB3084" w:rsidRPr="0008556F" w:rsidTr="00DB3084">
        <w:trPr>
          <w:trHeight w:val="216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     </w:t>
            </w: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sonstige variable Kosten: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(z. B. Bindegarn, Wickelfolie, </w:t>
            </w:r>
            <w:proofErr w:type="gramStart"/>
            <w:r w:rsidRPr="0008556F">
              <w:rPr>
                <w:rFonts w:cs="Times New Roman"/>
                <w:color w:val="000000"/>
                <w:sz w:val="24"/>
                <w:szCs w:val="24"/>
              </w:rPr>
              <w:t>... )</w:t>
            </w:r>
            <w:proofErr w:type="gramEnd"/>
          </w:p>
        </w:tc>
      </w:tr>
      <w:tr w:rsidR="00DB3084" w:rsidRPr="0008556F" w:rsidTr="00DB3084">
        <w:trPr>
          <w:trHeight w:val="216"/>
        </w:trPr>
        <w:tc>
          <w:tcPr>
            <w:tcW w:w="9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336"/>
        </w:trPr>
        <w:tc>
          <w:tcPr>
            <w:tcW w:w="9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08556F">
              <w:rPr>
                <w:rFonts w:cs="Times New Roman"/>
                <w:color w:val="000000"/>
                <w:sz w:val="28"/>
                <w:szCs w:val="28"/>
              </w:rPr>
              <w:t>  = Summe der variablen Kosten je Stunde</w:t>
            </w:r>
          </w:p>
        </w:tc>
      </w:tr>
      <w:tr w:rsidR="00DB3084" w:rsidRPr="0008556F" w:rsidTr="00DB3084">
        <w:trPr>
          <w:trHeight w:val="336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08556F">
              <w:rPr>
                <w:rFonts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32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7"/>
                <w:szCs w:val="27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Begriffe: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Anschaffungswert: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Anschaffungskosten der Maschine </w:t>
            </w: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Restwert: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Möglicher Verkaufspreis am Ende der angenommenen Nutzungsdauer</w:t>
            </w: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Neuwert: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Kosten der Maschine im Neuzustand (Anschaffungswert einer Neumaschine)</w:t>
            </w: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Nutzungsdauer: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voraussichtliche Nutzungsdauer der Maschine am Betrieb</w:t>
            </w: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Reparaturkostenfaktor: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Reparaturkosten in % vom Neuwert je 100 Stunden,</w:t>
            </w: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 </w:t>
            </w:r>
            <w:proofErr w:type="gramStart"/>
            <w:r w:rsidRPr="0008556F">
              <w:rPr>
                <w:rFonts w:cs="Times New Roman"/>
                <w:color w:val="000000"/>
                <w:sz w:val="24"/>
                <w:szCs w:val="24"/>
              </w:rPr>
              <w:t>( zu</w:t>
            </w:r>
            <w:proofErr w:type="gramEnd"/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entnehmen aus den ÖKL - Richtwerten)</w:t>
            </w: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Abschreibung: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Durchschnittlicher Wertverlust der Maschine je Jahr</w:t>
            </w: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Zinsansatz: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Ansatz für das eingesetztes Kapital</w:t>
            </w: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Versicherung und Unterbringung:</w:t>
            </w:r>
            <w:r w:rsidRPr="0008556F">
              <w:rPr>
                <w:rFonts w:cs="Times New Roman"/>
                <w:color w:val="000000"/>
                <w:sz w:val="24"/>
                <w:szCs w:val="24"/>
              </w:rPr>
              <w:t xml:space="preserve"> Ansatz für Versicherung (Feuer, Haftpflicht, ...)</w:t>
            </w:r>
          </w:p>
        </w:tc>
      </w:tr>
      <w:tr w:rsidR="00DB3084" w:rsidRPr="0008556F" w:rsidTr="00DB3084">
        <w:trPr>
          <w:trHeight w:val="2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56F">
              <w:rPr>
                <w:rFonts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 und Unterbringung ("Hallenmiete")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DB3084" w:rsidRPr="0008556F" w:rsidTr="00DB3084">
        <w:trPr>
          <w:trHeight w:val="5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0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0"/>
              </w:rPr>
              <w:t>Abschreibungsschwelle:</w:t>
            </w:r>
          </w:p>
        </w:tc>
      </w:tr>
      <w:tr w:rsidR="00DB3084" w:rsidRPr="0008556F" w:rsidTr="00DB3084">
        <w:trPr>
          <w:trHeight w:val="88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3078C0" w:rsidP="003078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  <w:r w:rsidRPr="0008556F">
              <w:rPr>
                <w:rFonts w:cs="Times New Roman"/>
                <w:color w:val="000000"/>
                <w:sz w:val="24"/>
                <w:szCs w:val="20"/>
              </w:rPr>
              <w:t>Jene Stundenanzahl pro</w:t>
            </w:r>
            <w:r w:rsidR="00DB3084" w:rsidRPr="0008556F">
              <w:rPr>
                <w:rFonts w:cs="Times New Roman"/>
                <w:color w:val="000000"/>
                <w:sz w:val="24"/>
                <w:szCs w:val="20"/>
              </w:rPr>
              <w:t xml:space="preserve"> Jahr, bei der sowohl die wirtschaftli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>che als auch die technische A</w:t>
            </w:r>
            <w:r w:rsidR="00DB3084" w:rsidRPr="0008556F">
              <w:rPr>
                <w:rFonts w:cs="Times New Roman"/>
                <w:color w:val="000000"/>
                <w:sz w:val="24"/>
                <w:szCs w:val="20"/>
              </w:rPr>
              <w:t>lterung gleich sind (Bei einem Einsatzumfang unter der AfA-Schwelle erfolgt eine zeitabhängige Abschreibung, darüber eine nutzungsabhängige Abschreibung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>)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3078C0" w:rsidRPr="0008556F" w:rsidRDefault="003078C0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</w:p>
          <w:p w:rsidR="003078C0" w:rsidRPr="0008556F" w:rsidRDefault="003078C0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</w:p>
          <w:p w:rsidR="003078C0" w:rsidRPr="0008556F" w:rsidRDefault="003078C0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</w:p>
          <w:p w:rsidR="003078C0" w:rsidRPr="0008556F" w:rsidRDefault="003078C0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</w:p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  <w:r w:rsidRPr="0008556F">
              <w:rPr>
                <w:rFonts w:cs="Times New Roman"/>
                <w:color w:val="000000"/>
                <w:sz w:val="24"/>
                <w:szCs w:val="20"/>
              </w:rPr>
              <w:t>Berechnung: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DB3084" w:rsidRPr="0008556F" w:rsidTr="00DB3084">
        <w:trPr>
          <w:trHeight w:val="756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0855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  <w:r w:rsidRPr="0008556F">
              <w:rPr>
                <w:rFonts w:cs="Times New Roman"/>
                <w:color w:val="000000"/>
                <w:sz w:val="24"/>
                <w:szCs w:val="20"/>
              </w:rPr>
              <w:t>AfA-Schwelle = Gesamt - Nutzungsdauer in Stunden / Nutzungsdauer in Jahren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DB3084" w:rsidRPr="0008556F" w:rsidTr="00DB3084">
        <w:trPr>
          <w:trHeight w:val="108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0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0"/>
              </w:rPr>
              <w:t>Zeitabhängige Abschreibung: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0855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  <w:r w:rsidRPr="0008556F">
              <w:rPr>
                <w:rFonts w:cs="Times New Roman"/>
                <w:color w:val="000000"/>
                <w:sz w:val="24"/>
                <w:szCs w:val="20"/>
              </w:rPr>
              <w:t>Der Wertverlust von Maschinen und Gebäuden erfolgt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 xml:space="preserve"> in diesem Fall weniger aufgrund der Abnu</w:t>
            </w:r>
            <w:r w:rsidRPr="0008556F">
              <w:rPr>
                <w:rFonts w:cs="Times New Roman"/>
                <w:color w:val="000000"/>
                <w:sz w:val="24"/>
                <w:szCs w:val="20"/>
              </w:rPr>
              <w:t>tzung, sondern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 xml:space="preserve"> eher wegen techn. A</w:t>
            </w:r>
            <w:r w:rsidRPr="0008556F">
              <w:rPr>
                <w:rFonts w:cs="Times New Roman"/>
                <w:color w:val="000000"/>
                <w:sz w:val="24"/>
                <w:szCs w:val="20"/>
              </w:rPr>
              <w:t xml:space="preserve">lterung. Berechnung der AfA erfolgt nach Jahren, sie gehört zu den Fixkosten. Diese AfA-Art 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>kommt in vielen Bereichen der österreichischen Landwirtschaft vor</w:t>
            </w:r>
            <w:r w:rsidRPr="0008556F">
              <w:rPr>
                <w:rFonts w:cs="Times New Roman"/>
                <w:color w:val="000000"/>
                <w:sz w:val="24"/>
                <w:szCs w:val="20"/>
              </w:rPr>
              <w:t>.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</w:rPr>
            </w:pP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0"/>
              </w:rPr>
            </w:pPr>
            <w:r w:rsidRPr="0008556F">
              <w:rPr>
                <w:rFonts w:cs="Times New Roman"/>
                <w:b/>
                <w:bCs/>
                <w:color w:val="000000"/>
                <w:sz w:val="24"/>
                <w:szCs w:val="20"/>
              </w:rPr>
              <w:t>Benutzungsabhängige Abschreibung:</w:t>
            </w:r>
          </w:p>
        </w:tc>
      </w:tr>
      <w:tr w:rsidR="00DB3084" w:rsidRPr="0008556F" w:rsidTr="00DB3084">
        <w:trPr>
          <w:trHeight w:val="756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  <w:r w:rsidRPr="0008556F">
              <w:rPr>
                <w:rFonts w:cs="Times New Roman"/>
                <w:color w:val="000000"/>
                <w:sz w:val="24"/>
                <w:szCs w:val="20"/>
              </w:rPr>
              <w:t>Der Wertver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>l</w:t>
            </w:r>
            <w:r w:rsidRPr="0008556F">
              <w:rPr>
                <w:rFonts w:cs="Times New Roman"/>
                <w:color w:val="000000"/>
                <w:sz w:val="24"/>
                <w:szCs w:val="20"/>
              </w:rPr>
              <w:t>ust von Maschinen und Gebäuden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 xml:space="preserve"> erfolgt nicht ausschließlich durch techn. A</w:t>
            </w:r>
            <w:r w:rsidRPr="0008556F">
              <w:rPr>
                <w:rFonts w:cs="Times New Roman"/>
                <w:color w:val="000000"/>
                <w:sz w:val="24"/>
                <w:szCs w:val="20"/>
              </w:rPr>
              <w:t>lterun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>g, sondern durch die Abnutzung, sprich den Verschleiß</w:t>
            </w:r>
            <w:r w:rsidRPr="0008556F">
              <w:rPr>
                <w:rFonts w:cs="Times New Roman"/>
                <w:color w:val="000000"/>
                <w:sz w:val="24"/>
                <w:szCs w:val="20"/>
              </w:rPr>
              <w:t>. Die AfA ist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 xml:space="preserve"> in diesem Fall</w:t>
            </w:r>
            <w:r w:rsidRPr="0008556F">
              <w:rPr>
                <w:rFonts w:cs="Times New Roman"/>
                <w:color w:val="000000"/>
                <w:sz w:val="24"/>
                <w:szCs w:val="20"/>
              </w:rPr>
              <w:t xml:space="preserve"> von der Benutzung abhängig und wird nach Betriebsstunden errechnet, sie gehört zu den variablen Kosten. Diese Abschreibungsart kommt bei Lohneinsatz</w:t>
            </w:r>
            <w:r w:rsidR="0008556F">
              <w:rPr>
                <w:rFonts w:cs="Times New Roman"/>
                <w:color w:val="000000"/>
                <w:sz w:val="24"/>
                <w:szCs w:val="20"/>
              </w:rPr>
              <w:t>, Maschinengemeinschaften</w:t>
            </w:r>
            <w:r w:rsidRPr="0008556F">
              <w:rPr>
                <w:rFonts w:cs="Times New Roman"/>
                <w:color w:val="000000"/>
                <w:sz w:val="24"/>
                <w:szCs w:val="20"/>
              </w:rPr>
              <w:t xml:space="preserve"> oder großen Betrieben vor.</w:t>
            </w: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</w:rPr>
            </w:pP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DB3084" w:rsidRPr="0008556F" w:rsidTr="00DB3084">
        <w:trPr>
          <w:trHeight w:val="756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DB3084" w:rsidRPr="0008556F" w:rsidTr="00DB3084">
        <w:trPr>
          <w:trHeight w:val="264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DB3084" w:rsidRPr="0008556F" w:rsidRDefault="00DB3084" w:rsidP="00DB3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7F19CE" w:rsidRPr="0008556F" w:rsidRDefault="007F19CE">
      <w:bookmarkStart w:id="0" w:name="_GoBack"/>
      <w:bookmarkEnd w:id="0"/>
    </w:p>
    <w:sectPr w:rsidR="007F19CE" w:rsidRPr="000855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84"/>
    <w:rsid w:val="0008556F"/>
    <w:rsid w:val="003078C0"/>
    <w:rsid w:val="004079E0"/>
    <w:rsid w:val="007F19CE"/>
    <w:rsid w:val="00D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5BCB"/>
  <w15:chartTrackingRefBased/>
  <w15:docId w15:val="{0676ACB2-3A1B-4526-8F94-12351266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Philipp</dc:creator>
  <cp:keywords/>
  <dc:description/>
  <cp:lastModifiedBy>Berger Philipp</cp:lastModifiedBy>
  <cp:revision>4</cp:revision>
  <dcterms:created xsi:type="dcterms:W3CDTF">2017-01-11T10:44:00Z</dcterms:created>
  <dcterms:modified xsi:type="dcterms:W3CDTF">2017-01-12T09:05:00Z</dcterms:modified>
</cp:coreProperties>
</file>